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6" w:type="dxa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8187"/>
      </w:tblGrid>
      <w:tr w:rsidR="00B54878" w:rsidRPr="00B54878">
        <w:trPr>
          <w:tblCellSpacing w:w="6" w:type="dxa"/>
          <w:jc w:val="center"/>
        </w:trPr>
        <w:tc>
          <w:tcPr>
            <w:tcW w:w="0" w:type="auto"/>
            <w:vAlign w:val="center"/>
            <w:hideMark/>
          </w:tcPr>
          <w:p w:rsidR="00B54878" w:rsidRDefault="00B54878" w:rsidP="00B54878">
            <w:pPr>
              <w:widowControl/>
              <w:spacing w:line="360" w:lineRule="auto"/>
              <w:jc w:val="center"/>
              <w:rPr>
                <w:rFonts w:ascii="ˎ̥" w:eastAsia="宋体" w:hAnsi="ˎ̥" w:cs="Arial" w:hint="eastAsia"/>
                <w:b/>
                <w:bCs/>
                <w:color w:val="000101"/>
                <w:kern w:val="0"/>
                <w:sz w:val="34"/>
                <w:szCs w:val="34"/>
              </w:rPr>
            </w:pPr>
            <w:r>
              <w:rPr>
                <w:rFonts w:ascii="ˎ̥" w:eastAsia="宋体" w:hAnsi="ˎ̥" w:cs="Arial" w:hint="eastAsia"/>
                <w:b/>
                <w:bCs/>
                <w:color w:val="000101"/>
                <w:kern w:val="0"/>
                <w:sz w:val="34"/>
                <w:szCs w:val="34"/>
              </w:rPr>
              <w:t>关于</w:t>
            </w:r>
            <w:r w:rsidRPr="00B54878">
              <w:rPr>
                <w:rFonts w:ascii="ˎ̥" w:eastAsia="宋体" w:hAnsi="ˎ̥" w:cs="Arial"/>
                <w:b/>
                <w:bCs/>
                <w:color w:val="000101"/>
                <w:kern w:val="0"/>
                <w:sz w:val="34"/>
                <w:szCs w:val="34"/>
              </w:rPr>
              <w:t>转发</w:t>
            </w:r>
            <w:r w:rsidR="000C1B2D">
              <w:rPr>
                <w:rFonts w:ascii="ˎ̥" w:eastAsia="宋体" w:hAnsi="ˎ̥" w:cs="Arial" w:hint="eastAsia"/>
                <w:b/>
                <w:bCs/>
                <w:color w:val="000101"/>
                <w:kern w:val="0"/>
                <w:sz w:val="34"/>
                <w:szCs w:val="34"/>
              </w:rPr>
              <w:t>《</w:t>
            </w:r>
            <w:r w:rsidRPr="00B54878">
              <w:rPr>
                <w:rFonts w:ascii="ˎ̥" w:eastAsia="宋体" w:hAnsi="ˎ̥" w:cs="Arial"/>
                <w:b/>
                <w:bCs/>
                <w:color w:val="000101"/>
                <w:kern w:val="0"/>
                <w:sz w:val="34"/>
                <w:szCs w:val="34"/>
              </w:rPr>
              <w:t>教育部</w:t>
            </w:r>
            <w:r>
              <w:rPr>
                <w:rFonts w:ascii="ˎ̥" w:eastAsia="宋体" w:hAnsi="ˎ̥" w:cs="Arial" w:hint="eastAsia"/>
                <w:b/>
                <w:bCs/>
                <w:color w:val="000101"/>
                <w:kern w:val="0"/>
                <w:sz w:val="34"/>
                <w:szCs w:val="34"/>
              </w:rPr>
              <w:t>高等教育司</w:t>
            </w:r>
            <w:r w:rsidR="000C1B2D">
              <w:rPr>
                <w:rFonts w:ascii="ˎ̥" w:eastAsia="宋体" w:hAnsi="ˎ̥" w:cs="Arial" w:hint="eastAsia"/>
                <w:b/>
                <w:bCs/>
                <w:color w:val="000101"/>
                <w:kern w:val="0"/>
                <w:sz w:val="34"/>
                <w:szCs w:val="34"/>
              </w:rPr>
              <w:t>关于</w:t>
            </w:r>
            <w:r w:rsidR="000C1B2D">
              <w:rPr>
                <w:rFonts w:ascii="ˎ̥" w:eastAsia="宋体" w:hAnsi="ˎ̥" w:cs="Arial" w:hint="eastAsia"/>
                <w:b/>
                <w:bCs/>
                <w:color w:val="000101"/>
                <w:kern w:val="0"/>
                <w:sz w:val="34"/>
                <w:szCs w:val="34"/>
              </w:rPr>
              <w:t>2016</w:t>
            </w:r>
            <w:r w:rsidR="000C1B2D">
              <w:rPr>
                <w:rFonts w:ascii="ˎ̥" w:eastAsia="宋体" w:hAnsi="ˎ̥" w:cs="Arial" w:hint="eastAsia"/>
                <w:b/>
                <w:bCs/>
                <w:color w:val="000101"/>
                <w:kern w:val="0"/>
                <w:sz w:val="34"/>
                <w:szCs w:val="34"/>
              </w:rPr>
              <w:t>年度普通高等学校本科专业设置工作有关问题的说明》</w:t>
            </w:r>
            <w:r w:rsidRPr="00B54878">
              <w:rPr>
                <w:rFonts w:ascii="ˎ̥" w:eastAsia="宋体" w:hAnsi="ˎ̥" w:cs="Arial"/>
                <w:b/>
                <w:bCs/>
                <w:color w:val="000101"/>
                <w:kern w:val="0"/>
                <w:sz w:val="34"/>
                <w:szCs w:val="34"/>
              </w:rPr>
              <w:t>的通知</w:t>
            </w:r>
          </w:p>
          <w:p w:rsidR="00B54878" w:rsidRPr="00B54878" w:rsidRDefault="00B54878" w:rsidP="00B54878">
            <w:pPr>
              <w:widowControl/>
              <w:spacing w:line="360" w:lineRule="auto"/>
              <w:jc w:val="center"/>
              <w:rPr>
                <w:rFonts w:ascii="ˎ̥" w:eastAsia="宋体" w:hAnsi="ˎ̥" w:cs="Arial"/>
                <w:b/>
                <w:bCs/>
                <w:color w:val="000101"/>
                <w:kern w:val="0"/>
                <w:sz w:val="34"/>
                <w:szCs w:val="34"/>
              </w:rPr>
            </w:pPr>
          </w:p>
        </w:tc>
      </w:tr>
      <w:tr w:rsidR="00B54878" w:rsidRPr="00B54878">
        <w:trPr>
          <w:tblCellSpacing w:w="6" w:type="dxa"/>
          <w:jc w:val="center"/>
        </w:trPr>
        <w:tc>
          <w:tcPr>
            <w:tcW w:w="0" w:type="auto"/>
            <w:hideMark/>
          </w:tcPr>
          <w:p w:rsidR="00B54878" w:rsidRPr="00B54878" w:rsidRDefault="00B54878" w:rsidP="00B54878">
            <w:pPr>
              <w:widowControl/>
              <w:spacing w:line="360" w:lineRule="auto"/>
              <w:jc w:val="center"/>
              <w:rPr>
                <w:rFonts w:ascii="ˎ̥" w:eastAsia="宋体" w:hAnsi="ˎ̥" w:cs="Arial"/>
                <w:color w:val="000101"/>
                <w:kern w:val="0"/>
                <w:sz w:val="14"/>
                <w:szCs w:val="14"/>
              </w:rPr>
            </w:pPr>
          </w:p>
        </w:tc>
      </w:tr>
      <w:tr w:rsidR="00B54878" w:rsidRPr="00B54878">
        <w:trPr>
          <w:tblCellSpacing w:w="6" w:type="dxa"/>
          <w:jc w:val="center"/>
        </w:trPr>
        <w:tc>
          <w:tcPr>
            <w:tcW w:w="0" w:type="auto"/>
            <w:hideMark/>
          </w:tcPr>
          <w:p w:rsidR="00B54878" w:rsidRPr="00B54878" w:rsidRDefault="00B54878" w:rsidP="00B54878">
            <w:pPr>
              <w:widowControl/>
              <w:spacing w:line="360" w:lineRule="auto"/>
              <w:jc w:val="left"/>
              <w:rPr>
                <w:rFonts w:ascii="ˎ̥" w:eastAsia="宋体" w:hAnsi="ˎ̥" w:cs="Arial"/>
                <w:color w:val="000101"/>
                <w:kern w:val="0"/>
                <w:sz w:val="14"/>
                <w:szCs w:val="14"/>
              </w:rPr>
            </w:pPr>
            <w:r w:rsidRPr="00B54878">
              <w:rPr>
                <w:rFonts w:ascii="ˎ̥" w:eastAsia="宋体" w:hAnsi="ˎ̥" w:cs="Arial"/>
                <w:color w:val="000101"/>
                <w:kern w:val="0"/>
                <w:sz w:val="14"/>
                <w:szCs w:val="14"/>
              </w:rPr>
              <w:t> </w:t>
            </w:r>
          </w:p>
        </w:tc>
      </w:tr>
      <w:tr w:rsidR="00B54878" w:rsidRPr="00B54878">
        <w:trPr>
          <w:tblCellSpacing w:w="6" w:type="dxa"/>
          <w:jc w:val="center"/>
        </w:trPr>
        <w:tc>
          <w:tcPr>
            <w:tcW w:w="0" w:type="auto"/>
            <w:hideMark/>
          </w:tcPr>
          <w:p w:rsidR="00B54878" w:rsidRPr="00B54878" w:rsidRDefault="00B54878" w:rsidP="00B54878">
            <w:pPr>
              <w:widowControl/>
              <w:wordWrap w:val="0"/>
              <w:spacing w:line="500" w:lineRule="atLeast"/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</w:pP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各学院（部）：</w:t>
            </w:r>
          </w:p>
          <w:p w:rsidR="000C1B2D" w:rsidRDefault="00B54878" w:rsidP="00B54878">
            <w:pPr>
              <w:widowControl/>
              <w:wordWrap w:val="0"/>
              <w:spacing w:line="500" w:lineRule="atLeast"/>
              <w:ind w:firstLine="640"/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</w:pP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现将</w:t>
            </w:r>
            <w:r w:rsidR="000C1B2D" w:rsidRPr="000C1B2D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《</w:t>
            </w:r>
            <w:r w:rsidR="000C1B2D" w:rsidRPr="00B54878"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  <w:t>教育部</w:t>
            </w:r>
            <w:r w:rsidR="000C1B2D" w:rsidRPr="000C1B2D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高等教育司关于2016年度普通高等学校本科专业设置工作有关问题的说明》</w:t>
            </w: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（</w:t>
            </w:r>
            <w:r w:rsidR="000C1B2D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教高司函</w:t>
            </w:r>
            <w:r w:rsidRPr="00B54878"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  <w:t>[2016]</w:t>
            </w:r>
            <w:r w:rsidR="000C1B2D" w:rsidRPr="000C1B2D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30</w:t>
            </w: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号）予以转发，请有</w:t>
            </w:r>
            <w:r w:rsidR="000C1B2D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意向</w:t>
            </w: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申报</w:t>
            </w:r>
            <w:r w:rsidR="000C1B2D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新专业或调整专业授予门类的</w:t>
            </w: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单位按文件要求组织申报工作，并于</w:t>
            </w:r>
            <w:r w:rsidR="000C1B2D" w:rsidRPr="000C1B2D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7</w:t>
            </w: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月</w:t>
            </w:r>
            <w:r w:rsidR="000C1B2D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5</w:t>
            </w: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日前将相关材料报送至教务处教研科。</w:t>
            </w:r>
          </w:p>
          <w:p w:rsidR="00B54878" w:rsidRPr="00B54878" w:rsidRDefault="00B54878" w:rsidP="00B54878">
            <w:pPr>
              <w:widowControl/>
              <w:wordWrap w:val="0"/>
              <w:spacing w:line="500" w:lineRule="atLeast"/>
              <w:ind w:firstLine="640"/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</w:pP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联系人：</w:t>
            </w:r>
            <w:r w:rsidR="000C1B2D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张轶</w:t>
            </w: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，联系电话：</w:t>
            </w:r>
            <w:r w:rsidRPr="00B54878"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  <w:t>2973740</w:t>
            </w: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。</w:t>
            </w:r>
          </w:p>
          <w:p w:rsidR="00B54878" w:rsidRPr="00B54878" w:rsidRDefault="00B54878" w:rsidP="00B54878">
            <w:pPr>
              <w:widowControl/>
              <w:wordWrap w:val="0"/>
              <w:spacing w:line="500" w:lineRule="atLeast"/>
              <w:ind w:firstLine="6080"/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</w:pPr>
            <w:r w:rsidRPr="00B54878"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  <w:t> </w:t>
            </w:r>
          </w:p>
          <w:p w:rsidR="00B54878" w:rsidRDefault="00B54878" w:rsidP="00B54878">
            <w:pPr>
              <w:widowControl/>
              <w:wordWrap w:val="0"/>
              <w:spacing w:line="500" w:lineRule="atLeast"/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</w:pP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附件</w:t>
            </w:r>
            <w:r w:rsidR="001B7441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：1.</w:t>
            </w:r>
            <w:r w:rsidR="000C1B2D" w:rsidRPr="000C1B2D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《</w:t>
            </w:r>
            <w:r w:rsidR="000C1B2D" w:rsidRPr="00B54878"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  <w:t>教育部</w:t>
            </w:r>
            <w:r w:rsidR="000C1B2D" w:rsidRPr="000C1B2D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高等教育司关于2016年度普通高等学校本科专业设置工作有关问题的说明》</w:t>
            </w:r>
            <w:r w:rsidRPr="00B54878"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  <w:t> </w:t>
            </w:r>
          </w:p>
          <w:p w:rsidR="001B7441" w:rsidRDefault="001B7441" w:rsidP="001B7441">
            <w:pPr>
              <w:spacing w:line="500" w:lineRule="exact"/>
              <w:ind w:firstLineChars="200" w:firstLine="640"/>
              <w:rPr>
                <w:rFonts w:ascii="仿宋_GB2312" w:eastAsia="仿宋_GB2312" w:hAnsi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 2.</w:t>
            </w:r>
            <w:r w:rsidRPr="004275E7">
              <w:rPr>
                <w:rFonts w:ascii="仿宋_GB2312" w:eastAsia="仿宋_GB2312" w:hAnsi="宋体" w:hint="eastAsia"/>
                <w:sz w:val="32"/>
                <w:szCs w:val="32"/>
              </w:rPr>
              <w:t>普通高等学校本科专业设置申请表（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备案</w:t>
            </w:r>
            <w:r w:rsidRPr="004275E7">
              <w:rPr>
                <w:rFonts w:ascii="仿宋_GB2312" w:eastAsia="仿宋_GB2312" w:hAnsi="宋体" w:hint="eastAsia"/>
                <w:sz w:val="32"/>
                <w:szCs w:val="32"/>
              </w:rPr>
              <w:t>专业适用）</w:t>
            </w:r>
          </w:p>
          <w:p w:rsidR="001B7441" w:rsidRDefault="001B7441" w:rsidP="001B7441">
            <w:pPr>
              <w:spacing w:line="500" w:lineRule="exact"/>
              <w:ind w:firstLineChars="200" w:firstLine="640"/>
              <w:rPr>
                <w:rFonts w:ascii="仿宋_GB2312" w:eastAsia="仿宋_GB2312" w:hAnsi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 3</w:t>
            </w:r>
            <w:r w:rsidRPr="00256E86">
              <w:rPr>
                <w:rFonts w:ascii="仿宋_GB2312" w:eastAsia="仿宋_GB2312" w:hAnsi="宋体" w:hint="eastAsia"/>
                <w:sz w:val="32"/>
                <w:szCs w:val="32"/>
              </w:rPr>
              <w:t>.普通高等学校本科专业设置申请汇总表（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备案</w:t>
            </w:r>
            <w:r w:rsidRPr="00256E86">
              <w:rPr>
                <w:rFonts w:ascii="仿宋_GB2312" w:eastAsia="仿宋_GB2312" w:hAnsi="宋体" w:hint="eastAsia"/>
                <w:sz w:val="32"/>
                <w:szCs w:val="32"/>
              </w:rPr>
              <w:t>专业适用）</w:t>
            </w:r>
          </w:p>
          <w:p w:rsidR="001B7441" w:rsidRPr="004275E7" w:rsidRDefault="001B7441" w:rsidP="001B7441">
            <w:pPr>
              <w:spacing w:line="500" w:lineRule="exact"/>
              <w:ind w:firstLineChars="200" w:firstLine="640"/>
              <w:rPr>
                <w:rFonts w:ascii="仿宋_GB2312" w:eastAsia="仿宋_GB2312" w:hAnsi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 4.</w:t>
            </w:r>
            <w:r w:rsidRPr="00947336">
              <w:rPr>
                <w:rFonts w:hint="eastAsia"/>
              </w:rPr>
              <w:t xml:space="preserve"> </w:t>
            </w:r>
            <w:bookmarkStart w:id="0" w:name="OLE_LINK1"/>
            <w:r w:rsidRPr="00947336">
              <w:rPr>
                <w:rFonts w:ascii="仿宋_GB2312" w:eastAsia="仿宋_GB2312" w:hAnsi="宋体" w:hint="eastAsia"/>
                <w:sz w:val="32"/>
                <w:szCs w:val="32"/>
              </w:rPr>
              <w:t>XXX专业本科指导性培养计划(模板)</w:t>
            </w:r>
            <w:bookmarkEnd w:id="0"/>
          </w:p>
          <w:p w:rsidR="001B7441" w:rsidRPr="001B7441" w:rsidRDefault="001B7441" w:rsidP="00B54878">
            <w:pPr>
              <w:widowControl/>
              <w:wordWrap w:val="0"/>
              <w:spacing w:line="500" w:lineRule="atLeast"/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</w:pPr>
          </w:p>
          <w:p w:rsidR="001B7441" w:rsidRPr="00B54878" w:rsidRDefault="001B7441" w:rsidP="00B54878">
            <w:pPr>
              <w:widowControl/>
              <w:wordWrap w:val="0"/>
              <w:spacing w:line="500" w:lineRule="atLeast"/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</w:pPr>
          </w:p>
          <w:p w:rsidR="00B54878" w:rsidRPr="00B54878" w:rsidRDefault="00B54878" w:rsidP="00B54878">
            <w:pPr>
              <w:widowControl/>
              <w:wordWrap w:val="0"/>
              <w:spacing w:line="500" w:lineRule="atLeast"/>
              <w:ind w:firstLine="6080"/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</w:pP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教务处</w:t>
            </w:r>
          </w:p>
          <w:p w:rsidR="00B54878" w:rsidRPr="00B54878" w:rsidRDefault="00B54878" w:rsidP="000C1B2D">
            <w:pPr>
              <w:widowControl/>
              <w:wordWrap w:val="0"/>
              <w:spacing w:line="500" w:lineRule="atLeast"/>
              <w:ind w:firstLine="5280"/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</w:pPr>
            <w:r w:rsidRPr="00B54878"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  <w:t>2016</w:t>
            </w: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年</w:t>
            </w:r>
            <w:r w:rsidRPr="00B54878"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  <w:t>6</w:t>
            </w: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月</w:t>
            </w:r>
            <w:r w:rsidRPr="00B54878">
              <w:rPr>
                <w:rFonts w:ascii="仿宋_GB2312" w:eastAsia="仿宋_GB2312" w:hAnsi="Times New Roman" w:cs="Times New Roman"/>
                <w:color w:val="000101"/>
                <w:kern w:val="0"/>
                <w:sz w:val="32"/>
                <w:szCs w:val="32"/>
              </w:rPr>
              <w:t>2</w:t>
            </w:r>
            <w:r w:rsidR="000C1B2D" w:rsidRPr="000C1B2D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7</w:t>
            </w:r>
            <w:r w:rsidRPr="00B54878">
              <w:rPr>
                <w:rFonts w:ascii="仿宋_GB2312" w:eastAsia="仿宋_GB2312" w:hAnsi="Times New Roman" w:cs="Times New Roman" w:hint="eastAsia"/>
                <w:color w:val="000101"/>
                <w:kern w:val="0"/>
                <w:sz w:val="32"/>
                <w:szCs w:val="32"/>
              </w:rPr>
              <w:t>日</w:t>
            </w:r>
          </w:p>
        </w:tc>
      </w:tr>
    </w:tbl>
    <w:p w:rsidR="006C1D8E" w:rsidRDefault="006C1D8E"/>
    <w:sectPr w:rsidR="006C1D8E" w:rsidSect="006C1D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4878"/>
    <w:rsid w:val="000C1B2D"/>
    <w:rsid w:val="001B7441"/>
    <w:rsid w:val="006C1D8E"/>
    <w:rsid w:val="00B54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48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5487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548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2016-06-27T02:08:00Z</dcterms:created>
  <dcterms:modified xsi:type="dcterms:W3CDTF">2016-06-27T02:20:00Z</dcterms:modified>
</cp:coreProperties>
</file>